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F8" w:rsidRPr="00357CBA" w:rsidRDefault="004753F8" w:rsidP="004753F8">
      <w:pPr>
        <w:pStyle w:val="Heading1"/>
        <w:rPr>
          <w:lang w:eastAsia="en-AU"/>
        </w:rPr>
      </w:pPr>
      <w:bookmarkStart w:id="0" w:name="_Toc433191416"/>
      <w:r w:rsidRPr="00357CBA">
        <w:rPr>
          <w:lang w:eastAsia="en-AU"/>
        </w:rPr>
        <w:t>Part 6</w:t>
      </w:r>
      <w:r w:rsidRPr="00357CBA">
        <w:rPr>
          <w:lang w:eastAsia="en-AU"/>
        </w:rPr>
        <w:tab/>
        <w:t>Project timeframe</w:t>
      </w:r>
      <w:bookmarkEnd w:id="0"/>
    </w:p>
    <w:p w:rsidR="004753F8" w:rsidRPr="00357CBA" w:rsidRDefault="004753F8" w:rsidP="004753F8">
      <w:pPr>
        <w:rPr>
          <w:rFonts w:ascii="Arial" w:hAnsi="Arial" w:cs="Arial"/>
          <w:lang w:eastAsia="en-AU"/>
        </w:rPr>
      </w:pPr>
    </w:p>
    <w:p w:rsidR="004753F8" w:rsidRDefault="004753F8" w:rsidP="004753F8">
      <w:pPr>
        <w:rPr>
          <w:rFonts w:ascii="Arial" w:hAnsi="Arial" w:cs="Arial"/>
          <w:sz w:val="22"/>
          <w:szCs w:val="22"/>
          <w:lang w:eastAsia="en-AU"/>
        </w:rPr>
      </w:pPr>
      <w:r w:rsidRPr="00357CBA">
        <w:rPr>
          <w:rFonts w:ascii="Arial" w:hAnsi="Arial" w:cs="Arial"/>
          <w:sz w:val="22"/>
          <w:szCs w:val="22"/>
          <w:lang w:eastAsia="en-AU"/>
        </w:rPr>
        <w:t xml:space="preserve">The following table outlines Council’s anticipated timetable for the completion of the Planning Proposal.   Council anticipates that the process will take approximately </w:t>
      </w:r>
      <w:r>
        <w:rPr>
          <w:rFonts w:ascii="Arial" w:hAnsi="Arial" w:cs="Arial"/>
          <w:sz w:val="22"/>
          <w:szCs w:val="22"/>
          <w:lang w:eastAsia="en-AU"/>
        </w:rPr>
        <w:t>2.5 years</w:t>
      </w:r>
      <w:r w:rsidRPr="00357CBA">
        <w:rPr>
          <w:rFonts w:ascii="Arial" w:hAnsi="Arial" w:cs="Arial"/>
          <w:sz w:val="22"/>
          <w:szCs w:val="22"/>
          <w:lang w:eastAsia="en-AU"/>
        </w:rPr>
        <w:t xml:space="preserve"> from the date of the Gateway Determination.</w:t>
      </w:r>
    </w:p>
    <w:p w:rsidR="004753F8" w:rsidRDefault="004753F8" w:rsidP="004753F8">
      <w:pPr>
        <w:rPr>
          <w:rFonts w:ascii="Arial" w:hAnsi="Arial" w:cs="Arial"/>
          <w:sz w:val="22"/>
          <w:szCs w:val="22"/>
          <w:lang w:eastAsia="en-AU"/>
        </w:rPr>
      </w:pPr>
    </w:p>
    <w:p w:rsidR="004753F8" w:rsidRPr="00357CBA" w:rsidRDefault="004753F8" w:rsidP="004753F8">
      <w:pPr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>Council suggests that the preparation of a Local Environmental Study will be required to address the issues identified</w:t>
      </w:r>
      <w:r>
        <w:rPr>
          <w:rFonts w:ascii="Arial" w:hAnsi="Arial" w:cs="Arial"/>
          <w:sz w:val="22"/>
          <w:szCs w:val="22"/>
          <w:lang w:eastAsia="en-AU"/>
        </w:rPr>
        <w:t xml:space="preserve"> and has allowed 18 months for the preparation of the requisite information to support the rezoning.   It is proposed that consultation with Government D</w:t>
      </w:r>
      <w:bookmarkStart w:id="1" w:name="_GoBack"/>
      <w:bookmarkEnd w:id="1"/>
      <w:r>
        <w:rPr>
          <w:rFonts w:ascii="Arial" w:hAnsi="Arial" w:cs="Arial"/>
          <w:sz w:val="22"/>
          <w:szCs w:val="22"/>
          <w:lang w:eastAsia="en-AU"/>
        </w:rPr>
        <w:t>epartments should occur prior to the public exhibition process to minimise the post exhibition amendments to the plan.</w:t>
      </w:r>
    </w:p>
    <w:p w:rsidR="004753F8" w:rsidRPr="00357CBA" w:rsidRDefault="004753F8" w:rsidP="004753F8">
      <w:pPr>
        <w:rPr>
          <w:rFonts w:ascii="Arial" w:hAnsi="Arial" w:cs="Arial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33"/>
        <w:gridCol w:w="2861"/>
      </w:tblGrid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b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Step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b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Criteria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b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b/>
                <w:sz w:val="22"/>
                <w:szCs w:val="22"/>
                <w:lang w:eastAsia="en-AU"/>
              </w:rPr>
              <w:t>Project timeline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Anticipated commencement date (date of Gateway determination)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July 2016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Anticipated timeframe for the completion of required technical information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January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Timeframe for government agency consultation (pre and post exhibition as required by Gateway determination)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March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Commencement and completion dates for public exhibition period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May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Dates for public hearing (if required)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4753F8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  <w:lang w:eastAsia="en-AU"/>
              </w:rPr>
              <w:t>anticipated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Timeframe for consideration of submissions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4753F8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July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Timeframe for the consideration of a proposal post exhibition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4753F8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September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Date of submission to the department to finalise the LEP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October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Anticipated date RPA will make the plan (if delegated)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4753F8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December 2018</w:t>
            </w:r>
          </w:p>
        </w:tc>
      </w:tr>
      <w:tr w:rsidR="004753F8" w:rsidRPr="00357CBA" w:rsidTr="00F61B8D">
        <w:tc>
          <w:tcPr>
            <w:tcW w:w="828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357CBA">
              <w:rPr>
                <w:rFonts w:ascii="Arial" w:hAnsi="Arial" w:cs="Arial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4833" w:type="dxa"/>
            <w:shd w:val="clear" w:color="auto" w:fill="auto"/>
          </w:tcPr>
          <w:p w:rsidR="004753F8" w:rsidRPr="00357CBA" w:rsidRDefault="004753F8" w:rsidP="00F61B8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57CBA">
              <w:rPr>
                <w:rFonts w:ascii="Arial" w:hAnsi="Arial" w:cs="Arial"/>
                <w:sz w:val="22"/>
                <w:szCs w:val="22"/>
              </w:rPr>
              <w:t xml:space="preserve">Anticipated date RPA will forward to the department for notification. </w:t>
            </w:r>
          </w:p>
        </w:tc>
        <w:tc>
          <w:tcPr>
            <w:tcW w:w="2861" w:type="dxa"/>
            <w:shd w:val="clear" w:color="auto" w:fill="auto"/>
          </w:tcPr>
          <w:p w:rsidR="004753F8" w:rsidRPr="00357CBA" w:rsidRDefault="004753F8" w:rsidP="00F61B8D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sz w:val="22"/>
                <w:szCs w:val="22"/>
                <w:lang w:eastAsia="en-AU"/>
              </w:rPr>
              <w:t>December 2018</w:t>
            </w:r>
          </w:p>
        </w:tc>
      </w:tr>
    </w:tbl>
    <w:p w:rsidR="004753F8" w:rsidRPr="00357CBA" w:rsidRDefault="004753F8" w:rsidP="004753F8">
      <w:pPr>
        <w:rPr>
          <w:rFonts w:ascii="Arial" w:hAnsi="Arial" w:cs="Arial"/>
          <w:lang w:eastAsia="en-AU"/>
        </w:rPr>
      </w:pPr>
    </w:p>
    <w:p w:rsidR="00432099" w:rsidRDefault="00432099"/>
    <w:sectPr w:rsidR="00432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F8"/>
    <w:rsid w:val="001D28FA"/>
    <w:rsid w:val="0033545B"/>
    <w:rsid w:val="00432099"/>
    <w:rsid w:val="004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3F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4753F8"/>
    <w:pPr>
      <w:autoSpaceDE w:val="0"/>
      <w:autoSpaceDN w:val="0"/>
      <w:adjustRightInd w:val="0"/>
      <w:spacing w:after="0" w:line="240" w:lineRule="auto"/>
    </w:pPr>
    <w:rPr>
      <w:rFonts w:ascii="Gotham Book" w:eastAsia="Times New Roman" w:hAnsi="Gotham Book" w:cs="Gotham Book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5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3F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4753F8"/>
    <w:pPr>
      <w:autoSpaceDE w:val="0"/>
      <w:autoSpaceDN w:val="0"/>
      <w:adjustRightInd w:val="0"/>
      <w:spacing w:after="0" w:line="240" w:lineRule="auto"/>
    </w:pPr>
    <w:rPr>
      <w:rFonts w:ascii="Gotham Book" w:eastAsia="Times New Roman" w:hAnsi="Gotham Book" w:cs="Gotham Book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Part 6	Project timeframe</vt:lpstr>
    </vt:vector>
  </TitlesOfParts>
  <Company>Bathurst Regional Council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Murphy</dc:creator>
  <cp:lastModifiedBy>Nicholas Murphy</cp:lastModifiedBy>
  <cp:revision>1</cp:revision>
  <dcterms:created xsi:type="dcterms:W3CDTF">2016-05-24T01:40:00Z</dcterms:created>
  <dcterms:modified xsi:type="dcterms:W3CDTF">2016-05-24T01:51:00Z</dcterms:modified>
</cp:coreProperties>
</file>